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right="2"/>
        <w:jc w:val="right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Starachowice, dnia </w:t>
      </w:r>
      <w:r>
        <w:rPr>
          <w:rFonts w:cs="Open Sans" w:ascii="Times New Roman" w:hAnsi="Times New Roman"/>
          <w:sz w:val="24"/>
          <w:szCs w:val="24"/>
        </w:rPr>
        <w:t>15</w:t>
      </w:r>
      <w:r>
        <w:rPr>
          <w:rFonts w:cs="Open Sans" w:ascii="Times New Roman" w:hAnsi="Times New Roman"/>
          <w:sz w:val="24"/>
          <w:szCs w:val="24"/>
        </w:rPr>
        <w:t>.</w:t>
      </w:r>
      <w:r>
        <w:rPr>
          <w:rFonts w:cs="Open Sans" w:ascii="Times New Roman" w:hAnsi="Times New Roman"/>
          <w:sz w:val="24"/>
          <w:szCs w:val="24"/>
        </w:rPr>
        <w:t>0</w:t>
      </w:r>
      <w:r>
        <w:rPr>
          <w:rFonts w:cs="Open Sans" w:ascii="Times New Roman" w:hAnsi="Times New Roman"/>
          <w:sz w:val="24"/>
          <w:szCs w:val="24"/>
        </w:rPr>
        <w:t>1.202</w:t>
      </w:r>
      <w:r>
        <w:rPr>
          <w:rFonts w:cs="Open Sans" w:ascii="Times New Roman" w:hAnsi="Times New Roman"/>
          <w:sz w:val="24"/>
          <w:szCs w:val="24"/>
        </w:rPr>
        <w:t xml:space="preserve">6 </w:t>
      </w:r>
      <w:r>
        <w:rPr>
          <w:rFonts w:cs="Open Sans" w:ascii="Times New Roman" w:hAnsi="Times New Roman"/>
          <w:sz w:val="24"/>
          <w:szCs w:val="24"/>
        </w:rPr>
        <w:t>r.</w:t>
      </w:r>
    </w:p>
    <w:p>
      <w:pPr>
        <w:pStyle w:val="Normal"/>
        <w:spacing w:lineRule="auto" w:line="300"/>
        <w:ind w:firstLine="5812" w:right="2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Normal"/>
        <w:spacing w:lineRule="auto" w:line="300"/>
        <w:ind w:hanging="0" w:right="2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ZAPYTANIE OFERTOWE</w:t>
      </w:r>
    </w:p>
    <w:p>
      <w:pPr>
        <w:pStyle w:val="Normal"/>
        <w:spacing w:lineRule="auto" w:line="300"/>
        <w:ind w:hanging="0" w:right="2"/>
        <w:jc w:val="center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(zamówienie, którego wartość nie przekracza kwoty 1</w:t>
      </w:r>
      <w:r>
        <w:rPr>
          <w:rFonts w:cs="Open Sans" w:ascii="Times New Roman" w:hAnsi="Times New Roman"/>
          <w:b/>
          <w:bCs/>
          <w:sz w:val="24"/>
          <w:szCs w:val="24"/>
        </w:rPr>
        <w:t>7</w:t>
      </w:r>
      <w:r>
        <w:rPr>
          <w:rFonts w:cs="Open Sans" w:ascii="Times New Roman" w:hAnsi="Times New Roman"/>
          <w:b/>
          <w:bCs/>
          <w:sz w:val="24"/>
          <w:szCs w:val="24"/>
        </w:rPr>
        <w:t>0.000 złotych)</w:t>
      </w:r>
    </w:p>
    <w:p>
      <w:pPr>
        <w:pStyle w:val="Normal"/>
        <w:spacing w:lineRule="auto" w:line="300"/>
        <w:ind w:firstLine="5812" w:right="2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pStyle w:val="Normal"/>
        <w:spacing w:lineRule="auto" w:line="288" w:before="57" w:after="120"/>
        <w:jc w:val="both"/>
        <w:rPr/>
      </w:pPr>
      <w:r>
        <w:rPr>
          <w:rFonts w:cs="Open Sans" w:ascii="Times New Roman" w:hAnsi="Times New Roman"/>
          <w:i w:val="false"/>
          <w:iCs w:val="false"/>
          <w:sz w:val="24"/>
          <w:szCs w:val="24"/>
        </w:rPr>
        <w:t xml:space="preserve">Referat Realizacji Inwestycji Urzędu Miejskiego w Starachowicach na podstawie </w:t>
      </w:r>
      <w:r>
        <w:rPr>
          <w:rFonts w:eastAsia="Times New Roman" w:cs="Open Sans" w:ascii="Times New Roman" w:hAnsi="Times New Roman"/>
          <w:i w:val="false"/>
          <w:iCs w:val="false"/>
          <w:sz w:val="24"/>
          <w:szCs w:val="24"/>
          <w:lang w:bidi="ar-SA"/>
        </w:rPr>
        <w:t>art. 2 ust. 1 pkt 1 ustawy z dn. 11.09.2019 r. Prawo zamówień publicznych (tj. Dz. U. z 2024 r. poz. 1320 z póz. zm.)</w:t>
      </w:r>
      <w:r>
        <w:rPr>
          <w:rFonts w:cs="Open Sans" w:ascii="Times New Roman" w:hAnsi="Times New Roman"/>
          <w:i w:val="false"/>
          <w:iCs w:val="false"/>
          <w:sz w:val="24"/>
          <w:szCs w:val="24"/>
        </w:rPr>
        <w:t xml:space="preserve">, zaprasza do złożenia oferty dotyczącej realizacji zadania pn.: </w:t>
      </w:r>
      <w:r>
        <w:rPr>
          <w:rStyle w:val="Domylnaczcionkaakapitu7"/>
          <w:rFonts w:eastAsia="Tahoma" w:cs="Open Sans" w:ascii="Times New Roman" w:hAnsi="Times New Roman"/>
          <w:b/>
          <w:bCs/>
          <w:i w:val="false"/>
          <w:iCs w:val="false"/>
          <w:color w:val="000000"/>
          <w:spacing w:val="3"/>
          <w:sz w:val="24"/>
          <w:szCs w:val="24"/>
          <w:lang w:eastAsia="ar-SA"/>
        </w:rPr>
        <w:t xml:space="preserve">Pełnienie usługi nadzoru inwestorskiego nad realizacją zadania pn.: </w:t>
      </w:r>
      <w:bookmarkStart w:id="0" w:name="_Hlk177369012"/>
      <w:r>
        <w:rPr>
          <w:rStyle w:val="Domylnaczcionkaakapitu7"/>
          <w:rFonts w:eastAsia="Tahoma" w:cs="Open Sans" w:ascii="Times New Roman" w:hAnsi="Times New Roman"/>
          <w:b/>
          <w:bCs/>
          <w:i w:val="false"/>
          <w:iCs w:val="false"/>
          <w:color w:val="000000"/>
          <w:spacing w:val="3"/>
          <w:sz w:val="24"/>
          <w:szCs w:val="24"/>
          <w:lang w:eastAsia="ar-SA"/>
        </w:rPr>
        <w:t>„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auto" w:val="clear"/>
          <w:lang w:val="pl-PL" w:eastAsia="ar-SA" w:bidi="ar-SA"/>
        </w:rPr>
        <w:t>Przebudowa dróg na terenie miasta Starachowice</w:t>
      </w:r>
      <w:r>
        <w:rPr>
          <w:rStyle w:val="Domylnaczcionkaakapitu7"/>
          <w:rFonts w:cs="Open Sans" w:ascii="Times New Roman" w:hAnsi="Times New Roman"/>
          <w:b/>
          <w:bCs/>
          <w:i w:val="false"/>
          <w:iCs w:val="false"/>
          <w:color w:val="000000"/>
          <w:spacing w:val="-7"/>
          <w:sz w:val="24"/>
          <w:szCs w:val="24"/>
          <w:shd w:fill="FFFFFF" w:val="clear"/>
          <w:lang w:eastAsia="ar-SA"/>
        </w:rPr>
        <w:t xml:space="preserve">”: Część I: Przebudowa ul. Czereśniowej i ul. Wiśniowej, Część II: Przebudowa ul. Zgodnej, Część III: Przebudowa ul. Kasztanowej. </w:t>
      </w:r>
      <w:bookmarkEnd w:id="0"/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Opis przedmiotu zamówienia</w:t>
      </w:r>
      <w:r>
        <w:rPr>
          <w:rFonts w:cs="Open Sans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88" w:before="57" w:after="120"/>
        <w:jc w:val="both"/>
        <w:rPr/>
      </w:pPr>
      <w:r>
        <w:rPr>
          <w:rFonts w:cs="Open Sans" w:ascii="Times New Roman" w:hAnsi="Times New Roman"/>
          <w:sz w:val="24"/>
          <w:szCs w:val="24"/>
        </w:rPr>
        <w:t xml:space="preserve">Przedmiotem zamówienia jest pełnienie nadzoru inwestorskiego na zadaniu </w:t>
      </w:r>
      <w:bookmarkStart w:id="1" w:name="_Hlk177369012_kopia_1"/>
      <w:bookmarkStart w:id="2" w:name="_Hlk177369012_kopia_2"/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„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auto" w:val="clear"/>
          <w:lang w:val="pl-PL" w:eastAsia="ar-SA" w:bidi="ar-SA"/>
        </w:rPr>
        <w:t>Przebudowa dróg na terenie miasta Starachowice</w:t>
      </w:r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-7"/>
          <w:sz w:val="24"/>
          <w:szCs w:val="24"/>
          <w:shd w:fill="FFFFFF" w:val="clear"/>
          <w:lang w:eastAsia="ar-SA"/>
        </w:rPr>
        <w:t>”: Część I: Przebudowa ul. Czereśniowej i ul. Wiśniowej, Część II: Przebudowa ul. Zgodnej, Część III: Przebudowa ul. Kasztanowej</w:t>
      </w:r>
      <w:bookmarkEnd w:id="1"/>
      <w:bookmarkEnd w:id="2"/>
      <w:r>
        <w:rPr>
          <w:rStyle w:val="Domylnaczcionkaakapitu7"/>
          <w:rFonts w:eastAsia="Tahoma" w:cs="Open Sans" w:ascii="Times New Roman" w:hAnsi="Times New Roman"/>
          <w:b/>
          <w:bCs/>
          <w:color w:val="000000"/>
          <w:spacing w:val="-7"/>
          <w:sz w:val="24"/>
          <w:szCs w:val="24"/>
          <w:shd w:fill="FFFFFF" w:val="clear"/>
          <w:lang w:eastAsia="ar-SA"/>
        </w:rPr>
        <w:t xml:space="preserve"> </w:t>
      </w:r>
      <w:r>
        <w:rPr>
          <w:rFonts w:cs="Open Sans" w:ascii="Times New Roman" w:hAnsi="Times New Roman"/>
          <w:sz w:val="24"/>
          <w:szCs w:val="24"/>
        </w:rPr>
        <w:t xml:space="preserve">w imieniu i na rachunek Zamawiającego. Zamówienie obejmuje świadczenie usługi w okresie realizacji inwestycji oraz okresie rękojmi za wady, polegającej na koordynacji, zarządzaniu, kontroli, nadzorowaniu i rozliczeniu robót budowlanych w tym ewentualnych robót zamiennych i dodatkowych. </w:t>
      </w:r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Główny zakres zamówienia obejmuje pełnienie nadzoru nad realizacją zadania: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left="0" w:right="0"/>
        <w:jc w:val="both"/>
        <w:rPr/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 xml:space="preserve">Część I – </w:t>
      </w: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>ul. Wiśniowa i ul. Czereśniowa</w:t>
      </w:r>
    </w:p>
    <w:p>
      <w:pPr>
        <w:pStyle w:val="Normal"/>
        <w:widowControl w:val="false"/>
        <w:numPr>
          <w:ilvl w:val="2"/>
          <w:numId w:val="21"/>
        </w:numPr>
        <w:suppressAutoHyphens w:val="true"/>
        <w:bidi w:val="0"/>
        <w:spacing w:lineRule="auto" w:line="276" w:before="0" w:after="0"/>
        <w:ind w:hanging="0" w:left="283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Stan istniejący</w:t>
      </w:r>
    </w:p>
    <w:p>
      <w:pPr>
        <w:pStyle w:val="Normal"/>
        <w:spacing w:lineRule="auto" w:line="276"/>
        <w:jc w:val="both"/>
        <w:rPr/>
      </w:pP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ab/>
      </w: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Przedmiotowa inwestycja zlokalizowana jest w rejonie zabudowy jednorodzinnej. Jezdnia drogi gminnej zarówno ul. Wiśniowej i ul. Czereśniowej posiada mocno zdegradowaną nawierzchnię bitumiczną o szerokości od ok. 2,5 m do 4,5 m w bardzo złym stanie technicznym - widoczne miejsca licznych napraw i przekopów. </w:t>
      </w:r>
      <w:r>
        <w:rPr>
          <w:rFonts w:cs="Arial" w:ascii="Times New Roman" w:hAnsi="Times New Roman"/>
          <w:color w:val="000000"/>
          <w:sz w:val="24"/>
          <w:szCs w:val="24"/>
        </w:rPr>
        <w:t>W istniejącym pasie drogowym zlokalizowana jest sieć telekomunikacyjna, kanał sanitarny wraz z przykanalikami, gazociąg, sieć wodociągowa wraz z przyłączami oraz sieć energetyczna. Na obszarze planowanej inwestycji w stanie istniejącym nie występuje oznakowanie pionowe ani poziome.</w:t>
      </w:r>
    </w:p>
    <w:p>
      <w:pPr>
        <w:pStyle w:val="Normal"/>
        <w:spacing w:lineRule="auto" w:line="276"/>
        <w:jc w:val="both"/>
        <w:rPr/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Część II – ul. Zgodna</w:t>
      </w:r>
    </w:p>
    <w:p>
      <w:pPr>
        <w:pStyle w:val="Normal"/>
        <w:widowControl w:val="false"/>
        <w:numPr>
          <w:ilvl w:val="2"/>
          <w:numId w:val="22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Stan istniejący</w:t>
      </w:r>
    </w:p>
    <w:p>
      <w:pPr>
        <w:pStyle w:val="Normal"/>
        <w:spacing w:lineRule="auto" w:line="276"/>
        <w:jc w:val="both"/>
        <w:rPr/>
      </w:pP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ab/>
      </w: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Przedmiotowa inwestycja zlokalizowana jest w rejonie zabudowy jednorodzinnej. Jezdnia drogi </w:t>
        <w:tab/>
        <w:t xml:space="preserve">gminnej wewnętrznej posiada mocno zdegradowaną nawierzchnię bitumiczną o szerokości ok. 4,5-5,0 m w bardzo złym stanie technicznym- widoczne miejsca licznych napraw i przekopów. </w:t>
      </w:r>
      <w:r>
        <w:rPr>
          <w:rFonts w:cs="Arial" w:ascii="Times New Roman" w:hAnsi="Times New Roman"/>
          <w:color w:val="000000"/>
          <w:sz w:val="24"/>
          <w:szCs w:val="24"/>
        </w:rPr>
        <w:t>W istniejącym pasie drogowym zlokalizowana jest sieć telekomunikacyjna, kanał sanitarny wraz z przykanalikami, gazociąg oraz sieć wodociągowa wraz z przyłączami. Na obszarze planowanej inwestycji w stanie istniejącym nie występuje oznakowanie pionowe ani poziome.</w:t>
      </w:r>
    </w:p>
    <w:p>
      <w:pPr>
        <w:pStyle w:val="Normal"/>
        <w:spacing w:lineRule="auto" w:line="276"/>
        <w:jc w:val="both"/>
        <w:rPr/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Część III – ul. Kasztanowa</w:t>
      </w:r>
    </w:p>
    <w:p>
      <w:pPr>
        <w:pStyle w:val="Normal"/>
        <w:widowControl w:val="false"/>
        <w:numPr>
          <w:ilvl w:val="2"/>
          <w:numId w:val="23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Stan istniejący</w:t>
      </w:r>
    </w:p>
    <w:p>
      <w:pPr>
        <w:pStyle w:val="Normal"/>
        <w:spacing w:lineRule="auto" w:line="276"/>
        <w:jc w:val="both"/>
        <w:rPr/>
      </w:pP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ab/>
      </w: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Przedmiotowa inwestycja zlokalizowana jest w rejonie zabudowy jednorodzinnej. Jezdnia drogi </w:t>
        <w:tab/>
        <w:t xml:space="preserve">gminnej posiada mocno zdegradowaną nawierzchnię bitumiczną o szerokości ok. 4,7-5,8 m w złym stanie technicznym- widoczne miejsca licznych napraw i przekopów. </w:t>
      </w:r>
      <w:r>
        <w:rPr>
          <w:rFonts w:cs="Arial" w:ascii="Times New Roman" w:hAnsi="Times New Roman"/>
          <w:color w:val="000000"/>
          <w:sz w:val="24"/>
          <w:szCs w:val="24"/>
        </w:rPr>
        <w:t xml:space="preserve">W istniejącym pasie drogowym zlokalizowana jest sieć telekomunikacyjna, kanał sanitarny wraz z przykanalikami, gazociąg oraz sieć </w:t>
        <w:tab/>
        <w:t>wodociągowa wraz z przyłączami. Na obszarze planowanej inwestycji w stanie istniejącym występuje oznakowanie poziome: znak P-13 "linia warunkowego zatrzymania złożona z trójkątów"- znajdujący się przed wjazdem na ul. Miodową; znakowanie pionowe nie występuje.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left="0" w:right="0"/>
        <w:jc w:val="both"/>
        <w:rPr/>
      </w:pPr>
      <w:r>
        <w:rPr>
          <w:rFonts w:ascii="Times New Roman" w:hAnsi="Times New Roman"/>
          <w:b/>
          <w:bCs/>
          <w:sz w:val="24"/>
          <w:szCs w:val="24"/>
        </w:rPr>
        <w:t xml:space="preserve">Część I – </w:t>
      </w:r>
      <w:r>
        <w:rPr>
          <w:rStyle w:val="Domylnaczcionkaakapitu"/>
          <w:rFonts w:ascii="Times New Roman" w:hAnsi="Times New Roman"/>
          <w:b/>
          <w:bCs/>
          <w:sz w:val="24"/>
          <w:szCs w:val="24"/>
        </w:rPr>
        <w:t xml:space="preserve">ul. Wiśniowa i ul. Czereśniowa </w:t>
      </w:r>
    </w:p>
    <w:p>
      <w:pPr>
        <w:pStyle w:val="Normal"/>
        <w:widowControl w:val="false"/>
        <w:numPr>
          <w:ilvl w:val="2"/>
          <w:numId w:val="24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>Stan projektowany</w:t>
      </w:r>
    </w:p>
    <w:p>
      <w:pPr>
        <w:pStyle w:val="Normal"/>
        <w:widowControl w:val="false"/>
        <w:numPr>
          <w:ilvl w:val="3"/>
          <w:numId w:val="5"/>
        </w:numPr>
        <w:suppressAutoHyphens w:val="true"/>
        <w:bidi w:val="0"/>
        <w:spacing w:lineRule="auto" w:line="276" w:before="0" w:after="0"/>
        <w:ind w:hanging="340" w:left="737" w:right="0"/>
        <w:jc w:val="both"/>
        <w:rPr/>
      </w:pP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Droga gminna publiczna - </w:t>
      </w:r>
      <w:r>
        <w:rPr>
          <w:rStyle w:val="Domylnaczcionkaakapitu"/>
          <w:rFonts w:cs="Arial" w:ascii="Times New Roman" w:hAnsi="Times New Roman"/>
          <w:b w:val="false"/>
          <w:bCs w:val="false"/>
          <w:color w:val="000000"/>
          <w:sz w:val="24"/>
          <w:szCs w:val="24"/>
        </w:rPr>
        <w:t>ul. Wiśniowa i ul. Czereśniowa</w:t>
      </w: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Style w:val="Domylnaczcionkaakapitu"/>
          <w:rFonts w:cs="Arial" w:ascii="Times New Roman" w:hAnsi="Times New Roman"/>
          <w:b w:val="false"/>
          <w:bCs w:val="false"/>
          <w:color w:val="000000"/>
          <w:sz w:val="24"/>
          <w:szCs w:val="24"/>
        </w:rPr>
        <w:t xml:space="preserve"> o łącznej dł. 370,00 m. </w:t>
      </w: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na  dz. </w:t>
      </w:r>
      <w:r>
        <w:rPr>
          <w:rStyle w:val="Domylnaczcionkaakapitu"/>
          <w:rFonts w:cs="Arial" w:ascii="Times New Roman" w:hAnsi="Times New Roman"/>
          <w:b w:val="false"/>
          <w:bCs w:val="false"/>
          <w:color w:val="000000"/>
          <w:sz w:val="24"/>
          <w:szCs w:val="24"/>
        </w:rPr>
        <w:t xml:space="preserve">ew. nr:  </w:t>
      </w:r>
      <w:r>
        <w:rPr>
          <w:rStyle w:val="Domylnaczcionkaakapitu"/>
          <w:rFonts w:cs="Arial" w:ascii="Times New Roman" w:hAnsi="Times New Roman"/>
          <w:b w:val="false"/>
          <w:bCs w:val="false"/>
          <w:color w:val="000000"/>
          <w:sz w:val="24"/>
          <w:szCs w:val="24"/>
          <w:shd w:fill="auto" w:val="clear"/>
        </w:rPr>
        <w:t>414/3, 414/1, 390/6, 167, 390/3, 390/2, 155, 166, 153, 152/4, 153/2, 149/3, 149/4, 114/2, 168/1, 175/4, 107/1, 108/1, 174</w:t>
      </w:r>
      <w:r>
        <w:rPr>
          <w:rStyle w:val="Domylnaczcionkaakapitu"/>
          <w:rFonts w:cs="Arial" w:ascii="Times New Roman" w:hAnsi="Times New Roman"/>
          <w:b w:val="false"/>
          <w:bCs w:val="false"/>
          <w:color w:val="000000"/>
          <w:sz w:val="24"/>
          <w:szCs w:val="24"/>
        </w:rPr>
        <w:t xml:space="preserve"> (obręb 0004) w Starachowicach.</w:t>
      </w:r>
    </w:p>
    <w:p>
      <w:pPr>
        <w:pStyle w:val="Normal"/>
        <w:widowControl w:val="false"/>
        <w:numPr>
          <w:ilvl w:val="3"/>
          <w:numId w:val="25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Klasa obu dróg</w:t>
        <w:tab/>
        <w:tab/>
        <w:t>D,</w:t>
      </w:r>
    </w:p>
    <w:p>
      <w:pPr>
        <w:pStyle w:val="Normal"/>
        <w:widowControl w:val="false"/>
        <w:numPr>
          <w:ilvl w:val="3"/>
          <w:numId w:val="6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Kategoria ruchu</w:t>
        <w:tab/>
        <w:tab/>
        <w:t>KR1,</w:t>
      </w:r>
    </w:p>
    <w:p>
      <w:pPr>
        <w:pStyle w:val="Normal"/>
        <w:widowControl w:val="false"/>
        <w:numPr>
          <w:ilvl w:val="3"/>
          <w:numId w:val="6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Szerokość jezdni</w:t>
        <w:tab/>
        <w:tab/>
        <w:t>od 2,5 m. do 4,5 m.,</w:t>
      </w:r>
    </w:p>
    <w:p>
      <w:pPr>
        <w:pStyle w:val="Normal"/>
        <w:widowControl w:val="false"/>
        <w:numPr>
          <w:ilvl w:val="3"/>
          <w:numId w:val="6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Prędkość projektowa</w:t>
        <w:tab/>
        <w:tab/>
        <w:t>Vp = 30 km/h,</w:t>
      </w:r>
    </w:p>
    <w:p>
      <w:pPr>
        <w:pStyle w:val="Normal"/>
        <w:widowControl w:val="false"/>
        <w:numPr>
          <w:ilvl w:val="3"/>
          <w:numId w:val="6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Nawierzchnia</w:t>
        <w:tab/>
        <w:tab/>
        <w:tab/>
        <w:t>bitumiczna,</w:t>
      </w:r>
    </w:p>
    <w:p>
      <w:pPr>
        <w:pStyle w:val="Normal"/>
        <w:widowControl w:val="false"/>
        <w:numPr>
          <w:ilvl w:val="3"/>
          <w:numId w:val="6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Spadek poprzeczny</w:t>
        <w:tab/>
        <w:tab/>
        <w:t>2% (daszkowy)</w:t>
      </w:r>
    </w:p>
    <w:p>
      <w:pPr>
        <w:pStyle w:val="Normal"/>
        <w:widowControl w:val="false"/>
        <w:numPr>
          <w:ilvl w:val="2"/>
          <w:numId w:val="26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Przebudowa drogi będzie polegać na:</w:t>
      </w:r>
    </w:p>
    <w:p>
      <w:pPr>
        <w:pStyle w:val="Normal"/>
        <w:widowControl w:val="false"/>
        <w:numPr>
          <w:ilvl w:val="3"/>
          <w:numId w:val="27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Przebudowie jezdni: wymianie istniejącej nawierzchni bitumicznej jezdni, wzmocnieniu istniejących podbudów;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Przebudowę zjazdów;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Przebudowę pobocza.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Część II – ul. Zgodna</w:t>
      </w:r>
    </w:p>
    <w:p>
      <w:pPr>
        <w:pStyle w:val="Normal"/>
        <w:widowControl w:val="false"/>
        <w:numPr>
          <w:ilvl w:val="2"/>
          <w:numId w:val="28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>Stan projektowany</w:t>
      </w:r>
    </w:p>
    <w:p>
      <w:pPr>
        <w:pStyle w:val="Normal"/>
        <w:widowControl w:val="false"/>
        <w:numPr>
          <w:ilvl w:val="3"/>
          <w:numId w:val="8"/>
        </w:numPr>
        <w:suppressAutoHyphens w:val="true"/>
        <w:bidi w:val="0"/>
        <w:spacing w:lineRule="auto" w:line="276" w:before="0" w:after="0"/>
        <w:ind w:hanging="340" w:left="737" w:right="0"/>
        <w:jc w:val="both"/>
        <w:rPr/>
      </w:pP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Droga gminna wewnętrzna na  dz. ew. nr: 1474 (obręb 0005) </w:t>
        <w:br/>
        <w:t>w Starachowicach</w:t>
      </w:r>
    </w:p>
    <w:p>
      <w:pPr>
        <w:pStyle w:val="Normal"/>
        <w:widowControl w:val="false"/>
        <w:numPr>
          <w:ilvl w:val="3"/>
          <w:numId w:val="29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Klasa drogi</w:t>
        <w:tab/>
        <w:tab/>
        <w:tab/>
        <w:t>D,</w:t>
      </w:r>
    </w:p>
    <w:p>
      <w:pPr>
        <w:pStyle w:val="Normal"/>
        <w:widowControl w:val="false"/>
        <w:numPr>
          <w:ilvl w:val="3"/>
          <w:numId w:val="9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Kategoria ruchu</w:t>
        <w:tab/>
        <w:tab/>
        <w:t>KR1,</w:t>
      </w:r>
    </w:p>
    <w:p>
      <w:pPr>
        <w:pStyle w:val="Normal"/>
        <w:widowControl w:val="false"/>
        <w:numPr>
          <w:ilvl w:val="3"/>
          <w:numId w:val="9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Szerokość jezdni</w:t>
        <w:tab/>
        <w:tab/>
        <w:t>2 x 2,25 m.,</w:t>
      </w:r>
    </w:p>
    <w:p>
      <w:pPr>
        <w:pStyle w:val="Normal"/>
        <w:widowControl w:val="false"/>
        <w:numPr>
          <w:ilvl w:val="3"/>
          <w:numId w:val="9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Prędkość projektowa</w:t>
        <w:tab/>
        <w:tab/>
        <w:t>Vp = 30 km/h,</w:t>
      </w:r>
    </w:p>
    <w:p>
      <w:pPr>
        <w:pStyle w:val="Normal"/>
        <w:widowControl w:val="false"/>
        <w:numPr>
          <w:ilvl w:val="3"/>
          <w:numId w:val="9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Nawierzchnia</w:t>
        <w:tab/>
        <w:tab/>
        <w:tab/>
        <w:t>bitumiczna,</w:t>
      </w:r>
    </w:p>
    <w:p>
      <w:pPr>
        <w:pStyle w:val="Normal"/>
        <w:widowControl w:val="false"/>
        <w:numPr>
          <w:ilvl w:val="3"/>
          <w:numId w:val="9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Spadek poprzeczny</w:t>
        <w:tab/>
        <w:tab/>
        <w:t>2% (daszkowy)</w:t>
        <w:tab/>
      </w:r>
    </w:p>
    <w:p>
      <w:pPr>
        <w:pStyle w:val="Normal"/>
        <w:widowControl w:val="false"/>
        <w:numPr>
          <w:ilvl w:val="2"/>
          <w:numId w:val="30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Przebudowa drogi będzie polegać na:</w:t>
      </w:r>
    </w:p>
    <w:p>
      <w:pPr>
        <w:pStyle w:val="Normal"/>
        <w:widowControl w:val="false"/>
        <w:numPr>
          <w:ilvl w:val="3"/>
          <w:numId w:val="31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Przebudowie jezdni: wymianie istniejącej nawierzchni bitumicznej jezdni, wzmocnieniu istniejących podbudów;</w:t>
      </w:r>
    </w:p>
    <w:p>
      <w:pPr>
        <w:pStyle w:val="Normal"/>
        <w:widowControl w:val="false"/>
        <w:numPr>
          <w:ilvl w:val="0"/>
          <w:numId w:val="10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Przebudowę pobocza.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Część III – ul. Kasztanowa</w:t>
      </w:r>
    </w:p>
    <w:p>
      <w:pPr>
        <w:pStyle w:val="Normal"/>
        <w:widowControl w:val="false"/>
        <w:numPr>
          <w:ilvl w:val="2"/>
          <w:numId w:val="32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Style w:val="Domylnaczcionkaakapitu"/>
          <w:rFonts w:cs="Arial" w:ascii="Times New Roman" w:hAnsi="Times New Roman"/>
          <w:b/>
          <w:bCs/>
          <w:color w:val="000000"/>
          <w:sz w:val="24"/>
          <w:szCs w:val="24"/>
        </w:rPr>
        <w:t>Stan projektowany</w:t>
      </w:r>
    </w:p>
    <w:p>
      <w:pPr>
        <w:pStyle w:val="Normal"/>
        <w:widowControl w:val="false"/>
        <w:numPr>
          <w:ilvl w:val="3"/>
          <w:numId w:val="11"/>
        </w:numPr>
        <w:suppressAutoHyphens w:val="true"/>
        <w:bidi w:val="0"/>
        <w:spacing w:lineRule="auto" w:line="276" w:before="0" w:after="0"/>
        <w:ind w:hanging="340" w:left="737" w:right="0"/>
        <w:jc w:val="both"/>
        <w:rPr/>
      </w:pP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Droga gminna publiczna na  dz. </w:t>
      </w:r>
      <w:r>
        <w:rPr>
          <w:rStyle w:val="Domylnaczcionkaakapitu"/>
          <w:rFonts w:cs="Arial" w:ascii="Times New Roman" w:hAnsi="Times New Roman"/>
          <w:b w:val="false"/>
          <w:bCs w:val="false"/>
          <w:color w:val="000000"/>
          <w:sz w:val="24"/>
          <w:szCs w:val="24"/>
        </w:rPr>
        <w:t>ew. nr 1908, 1933/1, 1932/1, 1932/4, 1930/8, 1928/5, 1927/2, 1925/7, 1925/9, 1922/2, 1920/2 (obręb 0004</w:t>
      </w:r>
      <w:r>
        <w:rPr>
          <w:rStyle w:val="Domylnaczcionkaakapitu"/>
          <w:rFonts w:cs="Arial" w:ascii="Times New Roman" w:hAnsi="Times New Roman"/>
          <w:color w:val="000000"/>
          <w:sz w:val="24"/>
          <w:szCs w:val="24"/>
        </w:rPr>
        <w:t xml:space="preserve"> w Starachowicach).</w:t>
      </w:r>
    </w:p>
    <w:p>
      <w:pPr>
        <w:pStyle w:val="Normal"/>
        <w:widowControl w:val="false"/>
        <w:numPr>
          <w:ilvl w:val="3"/>
          <w:numId w:val="33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Klasa drogi</w:t>
        <w:tab/>
        <w:tab/>
        <w:tab/>
        <w:t>D,</w:t>
      </w:r>
    </w:p>
    <w:p>
      <w:pPr>
        <w:pStyle w:val="Normal"/>
        <w:widowControl w:val="false"/>
        <w:numPr>
          <w:ilvl w:val="3"/>
          <w:numId w:val="12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Kategoria ruchu</w:t>
        <w:tab/>
        <w:tab/>
        <w:t>KR1,</w:t>
      </w:r>
    </w:p>
    <w:p>
      <w:pPr>
        <w:pStyle w:val="Normal"/>
        <w:widowControl w:val="false"/>
        <w:numPr>
          <w:ilvl w:val="3"/>
          <w:numId w:val="12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Szerokość jezdni</w:t>
        <w:tab/>
        <w:tab/>
        <w:t>2 x 2,25 m.,</w:t>
      </w:r>
    </w:p>
    <w:p>
      <w:pPr>
        <w:pStyle w:val="Normal"/>
        <w:widowControl w:val="false"/>
        <w:numPr>
          <w:ilvl w:val="3"/>
          <w:numId w:val="12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Prędkość projektowa</w:t>
        <w:tab/>
        <w:tab/>
        <w:t>Vp = 30 km/h,</w:t>
      </w:r>
    </w:p>
    <w:p>
      <w:pPr>
        <w:pStyle w:val="Normal"/>
        <w:widowControl w:val="false"/>
        <w:numPr>
          <w:ilvl w:val="3"/>
          <w:numId w:val="12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Nawierzchnia</w:t>
        <w:tab/>
        <w:tab/>
        <w:tab/>
        <w:t>bitumiczna,</w:t>
      </w:r>
    </w:p>
    <w:p>
      <w:pPr>
        <w:pStyle w:val="Normal"/>
        <w:widowControl w:val="false"/>
        <w:numPr>
          <w:ilvl w:val="3"/>
          <w:numId w:val="12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Spadek poprzeczny</w:t>
        <w:tab/>
        <w:tab/>
        <w:t>2% (daszkowy)</w:t>
        <w:tab/>
      </w:r>
    </w:p>
    <w:p>
      <w:pPr>
        <w:pStyle w:val="Normal"/>
        <w:widowControl w:val="false"/>
        <w:numPr>
          <w:ilvl w:val="2"/>
          <w:numId w:val="34"/>
        </w:numPr>
        <w:suppressAutoHyphens w:val="true"/>
        <w:bidi w:val="0"/>
        <w:spacing w:lineRule="auto" w:line="276" w:before="0" w:after="0"/>
        <w:ind w:hanging="454" w:left="737" w:right="0"/>
        <w:jc w:val="both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cs="Arial" w:ascii="Times New Roman" w:hAnsi="Times New Roman"/>
          <w:b/>
          <w:bCs/>
          <w:color w:val="000000"/>
          <w:sz w:val="24"/>
          <w:szCs w:val="24"/>
        </w:rPr>
        <w:t>Przebudowa drogi będzie polegać na:</w:t>
      </w:r>
    </w:p>
    <w:p>
      <w:pPr>
        <w:pStyle w:val="Normal"/>
        <w:widowControl w:val="false"/>
        <w:numPr>
          <w:ilvl w:val="3"/>
          <w:numId w:val="35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cs="Arial" w:ascii="Times New Roman" w:hAnsi="Times New Roman"/>
          <w:color w:val="000000"/>
          <w:sz w:val="24"/>
          <w:szCs w:val="24"/>
        </w:rPr>
        <w:t>Przebudowie jezdni: wymianie istniejącej nawierzchni bitumicznej jezdni, wzmocnieniu istniejących podbudów;</w:t>
      </w:r>
    </w:p>
    <w:p>
      <w:pPr>
        <w:pStyle w:val="Normal"/>
        <w:widowControl w:val="false"/>
        <w:numPr>
          <w:ilvl w:val="0"/>
          <w:numId w:val="13"/>
        </w:numPr>
        <w:suppressAutoHyphens w:val="true"/>
        <w:bidi w:val="0"/>
        <w:spacing w:lineRule="auto" w:line="276" w:before="0" w:after="0"/>
        <w:ind w:hanging="340" w:left="737" w:right="0"/>
        <w:jc w:val="both"/>
        <w:rPr>
          <w:rFonts w:cs="Arial"/>
          <w:color w:val="000000"/>
        </w:rPr>
      </w:pPr>
      <w:r>
        <w:rPr>
          <w:rStyle w:val="Domylnaczcionkaakapitu"/>
          <w:rFonts w:eastAsia="Times New Roman" w:cs="Arial" w:ascii="Times New Roman" w:hAnsi="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pl-PL" w:eastAsia="zxx" w:bidi="zxx"/>
        </w:rPr>
        <w:t>Przebudowę pobocza.</w:t>
      </w:r>
    </w:p>
    <w:p>
      <w:pPr>
        <w:pStyle w:val="Wysunicie"/>
        <w:tabs>
          <w:tab w:val="clear" w:pos="0"/>
          <w:tab w:val="left" w:pos="375" w:leader="none"/>
          <w:tab w:val="left" w:pos="405" w:leader="none"/>
        </w:tabs>
        <w:spacing w:lineRule="auto" w:line="360" w:before="0" w:after="0"/>
        <w:ind w:hanging="0" w:left="0" w:right="0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Szczegółowy zakres robót budowlanych podlegających nadzorowi inwestorskiemu przedstawia dokumentacja projektowa wraz z przedmiarem robót zamieszczony na stronie internetowej: http:/bip.um.starachowice.pl w zakładce „Zamówienia publiczne” &gt; „Postępowania 2025 r.” &gt; „Bieżące”.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Szacunek wartości przedmiotu zamówienia w postępowaniu przetargowym na roboty budowlane wynosi: </w:t>
      </w:r>
      <w:bookmarkStart w:id="3" w:name="_Hlk177369012_kopia_4"/>
      <w:r>
        <w:rPr>
          <w:rStyle w:val="Domylnaczcionkaakapitu7"/>
          <w:rFonts w:eastAsia="Tahoma" w:cs="Open Sans" w:ascii="Times New Roman" w:hAnsi="Times New Roman"/>
          <w:b/>
          <w:bCs/>
          <w:i w:val="false"/>
          <w:iCs w:val="false"/>
          <w:color w:val="000000"/>
          <w:spacing w:val="3"/>
          <w:kern w:val="2"/>
          <w:sz w:val="24"/>
          <w:szCs w:val="24"/>
          <w:u w:val="none"/>
          <w:shd w:fill="auto" w:val="clear"/>
          <w:lang w:eastAsia="ar-SA" w:bidi="ar-SA"/>
        </w:rPr>
        <w:t>„</w:t>
      </w:r>
      <w:r>
        <w:rPr>
          <w:rStyle w:val="Domylnaczcionkaakapitu"/>
          <w:rFonts w:eastAsia="Arial" w:cs="Arial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auto" w:val="clear"/>
          <w:lang w:val="pl-PL" w:eastAsia="ar-SA" w:bidi="ar-SA"/>
        </w:rPr>
        <w:t>Przebudowa dróg na terenie miasta Starachowice</w:t>
      </w:r>
      <w:r>
        <w:rPr>
          <w:rStyle w:val="Domylnaczcionkaakapitu7"/>
          <w:rFonts w:eastAsia="Times New Roman" w:cs="Open Sans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FFFFFF" w:val="clear"/>
          <w:lang w:eastAsia="ar-SA" w:bidi="ar-SA"/>
        </w:rPr>
        <w:t xml:space="preserve">”: 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Style w:val="Domylnaczcionkaakapitu7"/>
          <w:rFonts w:eastAsia="Times New Roman" w:cs="Open Sans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FFFFFF" w:val="clear"/>
          <w:lang w:eastAsia="ar-SA" w:bidi="ar-SA"/>
        </w:rPr>
        <w:t xml:space="preserve">Część I: Przebudowa ul. Czereśniowej i ul. Wiśniowej: 262 602,49 zł netto, 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Style w:val="Domylnaczcionkaakapitu7"/>
          <w:rFonts w:eastAsia="Times New Roman" w:cs="Open Sans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FFFFFF" w:val="clear"/>
          <w:lang w:eastAsia="ar-SA" w:bidi="ar-SA"/>
        </w:rPr>
        <w:t xml:space="preserve">Część II: Przebudowa ul. Zgodnej: 135 424,57 zł netto, 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Style w:val="Domylnaczcionkaakapitu7"/>
          <w:rFonts w:eastAsia="Times New Roman" w:cs="Open Sans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FFFFFF" w:val="clear"/>
          <w:lang w:eastAsia="ar-SA" w:bidi="ar-SA"/>
        </w:rPr>
        <w:t>Część III: Przebudowa ul. Kasztanowej</w:t>
      </w:r>
      <w:bookmarkEnd w:id="3"/>
      <w:r>
        <w:rPr>
          <w:rStyle w:val="Domylnaczcionkaakapitu7"/>
          <w:rFonts w:eastAsia="Times New Roman" w:cs="Open Sans" w:ascii="Times New Roman" w:hAnsi="Times New Roman"/>
          <w:b/>
          <w:bCs/>
          <w:i w:val="false"/>
          <w:iCs w:val="false"/>
          <w:color w:val="000000"/>
          <w:spacing w:val="-7"/>
          <w:kern w:val="2"/>
          <w:sz w:val="24"/>
          <w:szCs w:val="24"/>
          <w:u w:val="none"/>
          <w:shd w:fill="FFFFFF" w:val="clear"/>
          <w:lang w:eastAsia="ar-SA" w:bidi="ar-SA"/>
        </w:rPr>
        <w:t>: 187 523,48</w:t>
      </w:r>
      <w:r>
        <w:rPr>
          <w:rFonts w:cs="Open Sans" w:ascii="Times New Roman" w:hAnsi="Times New Roman"/>
          <w:b/>
          <w:bCs/>
          <w:color w:val="000000"/>
          <w:sz w:val="24"/>
          <w:szCs w:val="24"/>
        </w:rPr>
        <w:t xml:space="preserve"> zł netto</w:t>
      </w:r>
      <w:r>
        <w:rPr>
          <w:rFonts w:cs="Open Sans" w:ascii="Times New Roman" w:hAnsi="Times New Roman"/>
          <w:sz w:val="24"/>
          <w:szCs w:val="24"/>
        </w:rPr>
        <w:t>. Umowa na roboty budowlane ma charakter kosztorysowy.</w:t>
      </w:r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Wymagany termin wykonania zamówienia:</w:t>
      </w:r>
    </w:p>
    <w:p>
      <w:pPr>
        <w:pStyle w:val="ListParagraph"/>
        <w:numPr>
          <w:ilvl w:val="1"/>
          <w:numId w:val="1"/>
        </w:numPr>
        <w:spacing w:lineRule="auto" w:line="288" w:before="60" w:after="0"/>
        <w:ind w:hanging="360" w:left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Open Sans" w:ascii="Times New Roman" w:hAnsi="Times New Roman"/>
          <w:sz w:val="24"/>
          <w:szCs w:val="24"/>
        </w:rPr>
        <w:t>termin</w:t>
      </w:r>
      <w:r>
        <w:rPr>
          <w:rFonts w:cs="Open Sans" w:ascii="Times New Roman" w:hAnsi="Times New Roman"/>
          <w:sz w:val="24"/>
          <w:szCs w:val="24"/>
        </w:rPr>
        <w:t xml:space="preserve"> rozpoczęcia – od dnia przekazania placu budowy,</w:t>
      </w:r>
    </w:p>
    <w:p>
      <w:pPr>
        <w:pStyle w:val="ListParagraph"/>
        <w:numPr>
          <w:ilvl w:val="1"/>
          <w:numId w:val="1"/>
        </w:numPr>
        <w:spacing w:lineRule="auto" w:line="288" w:before="60" w:after="0"/>
        <w:ind w:hanging="357" w:left="709"/>
        <w:jc w:val="both"/>
        <w:rPr/>
      </w:pPr>
      <w:r>
        <w:rPr>
          <w:rFonts w:eastAsia="Times New Roman" w:cs="Open Sans" w:ascii="Times New Roman" w:hAnsi="Times New Roman"/>
          <w:sz w:val="24"/>
          <w:szCs w:val="24"/>
        </w:rPr>
        <w:t xml:space="preserve">termin zakończenia - </w:t>
      </w:r>
      <w:r>
        <w:rPr>
          <w:rStyle w:val="Domylnaczcionkaakapitu7"/>
          <w:rFonts w:eastAsia="Times New Roman" w:cs="Open Sans" w:ascii="Times New Roman" w:hAnsi="Times New Roman"/>
          <w:spacing w:val="-9"/>
          <w:sz w:val="24"/>
          <w:szCs w:val="24"/>
        </w:rPr>
        <w:t>do dnia odbioru końcowego robót budowlanych i przedstawienia przez Wykonawcę rozliczenia robót – tj. ok. 6 miesięcy od dnia podpisania umowy (obejmuje także rozliczenie końcowe nadzorowanych robót budowlanych).</w:t>
      </w:r>
    </w:p>
    <w:p>
      <w:pPr>
        <w:pStyle w:val="ListParagraph"/>
        <w:numPr>
          <w:ilvl w:val="1"/>
          <w:numId w:val="1"/>
        </w:numPr>
        <w:spacing w:lineRule="auto" w:line="288" w:before="60" w:after="120"/>
        <w:ind w:hanging="357" w:left="709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pacing w:val="-9"/>
          <w:sz w:val="24"/>
          <w:szCs w:val="24"/>
        </w:rPr>
        <w:t>okres rękojmi – od dnia dokonania odbioru końcowego robót budowlanych do dnia upływu okresu rękojmi lub do dnia odbioru usunięcia usterek.</w:t>
      </w:r>
    </w:p>
    <w:p>
      <w:pPr>
        <w:pStyle w:val="ListParagraph"/>
        <w:numPr>
          <w:ilvl w:val="0"/>
          <w:numId w:val="1"/>
        </w:numPr>
        <w:spacing w:lineRule="auto" w:line="300" w:before="0" w:after="60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Cena ofertowa - wynagrodzenie Wykonawcy.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Cena ofertowa jest ceną ryczałtową i nie podlega zmianom.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Wykonawca zobowiązany jest uwzględnić w cenie ofertowej wszystkie koszty związane</w:t>
        <w:br/>
        <w:t>z realizacją przedmiotu umowy, w tym wszelkie opłaty publiczno-prawne, w tym podatek VAT, a w przypadku osób fizycznych nieprowadzących działalności gospodarczej – koszty uzyskania przychodu i podatek dochodowy. Wszystkie ceny należy podać w PLN,</w:t>
        <w:br/>
        <w:t>z dokładnością do 2 miejsc po przecinku. Wynagrodzenie będzie płatne na zasadach określonych w projekcie umowy.</w:t>
      </w:r>
    </w:p>
    <w:p>
      <w:pPr>
        <w:pStyle w:val="ListParagraph"/>
        <w:numPr>
          <w:ilvl w:val="0"/>
          <w:numId w:val="1"/>
        </w:numPr>
        <w:spacing w:lineRule="auto" w:line="300"/>
        <w:ind w:hanging="709" w:left="709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Warunki udziału w postępowaniu oraz opis sposobu dokonywania oceny spełnienia tych warunków: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851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Wymagane jest dysponowanie osobami o odpowiednich kwalifikacjach zawodowych, doświadczeniu i wykształceniu niezbędnym do wykonania przedmiotu zamówienia tj.:</w:t>
      </w:r>
    </w:p>
    <w:p>
      <w:pPr>
        <w:pStyle w:val="Normal"/>
        <w:numPr>
          <w:ilvl w:val="0"/>
          <w:numId w:val="2"/>
        </w:numPr>
        <w:spacing w:before="0" w:after="113"/>
        <w:ind w:hanging="340" w:left="90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Inspektor nadzoru w branży drogowej – osoba posiadająca uprawnienia budowlane do nadzorowania robót drogowych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,</w:t>
      </w:r>
    </w:p>
    <w:p>
      <w:pPr>
        <w:pStyle w:val="Normal"/>
        <w:numPr>
          <w:ilvl w:val="0"/>
          <w:numId w:val="2"/>
        </w:numPr>
        <w:ind w:hanging="340" w:left="907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Osoba pełniąca funkcję specjalisty ds. kosztorysowania, pomiaru i obmiarów oraz rozliczeń finansowych.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Uwaga! W przypadku wymogu dysponowania kilkoma osobami w różnych branżach Zamawiający dopuszcza łączenie funkcji w ww. branżach, jeśli wykazana osoba posiada wymagane uprawnienia.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 xml:space="preserve">Powyższe wymagania należy traktować jako minimalne wymagania Zamawiającego, które odnoszą się tylko i wyłącznie do personelu kluczowego Wykonawcy. Oprócz ww. osób Wykonawca musi zapewnić odpowiedni zespół będący w stanie wykonać przedmiotowe zamówienie w wyznaczonym terminie. 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Wskazane powyżej uprawnienia budowlane muszą być zgodne z ustawą z dnia 7 lipca 1994 r. Prawo budowlane (tekst jednolity Dz. U. z 2023r., poz. 682) oraz rozporządzeniem Ministra Infrastruktury i Rozwoju z dnia 11 września 2014r. W sprawie samodzielnych funkcji technicznych w budownictwie (Dz. U. z 2019r., poz. 831) lub odpowiadającym im ważnym uprawnieniom budowlanym, wydanym na podstawie uprzednio obowiązujących przepisów prawa lub odpowiednich przepisów obowiązujących na terenie kraju, z którego pochodzi dana osoba, które z zakresie objętym zamówieniem pozwalać będą na pełnienie samodzielnych funkcji technicznych w budownictwie w w/w specjalności.</w:t>
      </w:r>
    </w:p>
    <w:p>
      <w:pPr>
        <w:pStyle w:val="ListParagraph"/>
        <w:numPr>
          <w:ilvl w:val="0"/>
          <w:numId w:val="1"/>
        </w:numPr>
        <w:spacing w:lineRule="auto" w:line="300"/>
        <w:ind w:hanging="709" w:left="709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Miejsce oraz termin składania i otwarcia ofert.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Ofertę zawierającą cenę ofertową brutto, w tym podatek VAT należy złożyć poprzez Platformę Zakupową Open Nexus (platformazakupowa.pl).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 xml:space="preserve">Termin złożenia ofert </w:t>
      </w:r>
      <w:r>
        <w:rPr>
          <w:rFonts w:cs="Open Sans" w:ascii="Times New Roman" w:hAnsi="Times New Roman"/>
          <w:b/>
          <w:bCs/>
          <w:sz w:val="24"/>
          <w:szCs w:val="24"/>
        </w:rPr>
        <w:t xml:space="preserve">do </w:t>
      </w:r>
      <w:r>
        <w:rPr>
          <w:rFonts w:cs="Open Sans" w:ascii="Times New Roman" w:hAnsi="Times New Roman"/>
          <w:b/>
          <w:bCs/>
          <w:sz w:val="24"/>
          <w:szCs w:val="24"/>
        </w:rPr>
        <w:t>30</w:t>
      </w:r>
      <w:r>
        <w:rPr>
          <w:rFonts w:cs="Open Sans" w:ascii="Times New Roman" w:hAnsi="Times New Roman"/>
          <w:b/>
          <w:bCs/>
          <w:sz w:val="24"/>
          <w:szCs w:val="24"/>
        </w:rPr>
        <w:t>.</w:t>
      </w:r>
      <w:r>
        <w:rPr>
          <w:rFonts w:cs="Open Sans" w:ascii="Times New Roman" w:hAnsi="Times New Roman"/>
          <w:b/>
          <w:bCs/>
          <w:sz w:val="24"/>
          <w:szCs w:val="24"/>
        </w:rPr>
        <w:t>01</w:t>
      </w:r>
      <w:r>
        <w:rPr>
          <w:rFonts w:cs="Open Sans" w:ascii="Times New Roman" w:hAnsi="Times New Roman"/>
          <w:b/>
          <w:bCs/>
          <w:sz w:val="24"/>
          <w:szCs w:val="24"/>
        </w:rPr>
        <w:t>.202</w:t>
      </w:r>
      <w:r>
        <w:rPr>
          <w:rFonts w:cs="Open Sans" w:ascii="Times New Roman" w:hAnsi="Times New Roman"/>
          <w:b/>
          <w:bCs/>
          <w:sz w:val="24"/>
          <w:szCs w:val="24"/>
        </w:rPr>
        <w:t>6</w:t>
      </w:r>
      <w:r>
        <w:rPr>
          <w:rFonts w:cs="Open Sans" w:ascii="Times New Roman" w:hAnsi="Times New Roman"/>
          <w:b/>
          <w:bCs/>
          <w:sz w:val="24"/>
          <w:szCs w:val="24"/>
        </w:rPr>
        <w:t xml:space="preserve"> r., godz. 10.00.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Opis kryteriów oceny ofert.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Kryterium oceny ofert:</w:t>
      </w:r>
    </w:p>
    <w:p>
      <w:pPr>
        <w:pStyle w:val="ListParagraph"/>
        <w:numPr>
          <w:ilvl w:val="0"/>
          <w:numId w:val="3"/>
        </w:numPr>
        <w:spacing w:lineRule="auto" w:line="300" w:before="0" w:after="120"/>
        <w:ind w:hanging="357" w:left="714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cena ofertowa – waga kryterium -100 %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 najbardziej korzystną zostanie uznana oferta, spełniająca warunki udziału w procedurze udzielenia zamówienia i która zawiera najniższą cenę ofertową.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 przypadku przekroczenia zarezerwowanej na zadanie kwoty, Zamawiający zastrzega sobie prawo do podjęcia negocjacji w zakresie oferowanej ceny z Wykonawcą, którego oferta została wybrana jako najkorzystniejsza.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 przypadku niedopełnienia formalności Zamawiający zastrzega sobie prawo wyboru kolejnej najkorzystniejszej cenowo oferty spełniającej warunki udziału w postępowaniu.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zastrzega sobie prawo unieważnienia postępowania o udzielenie zamówienia na każdym etapie jego przeprowadzania bez podania przyczyny.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Informacja o osobach uprawnionych do porozumiewania się z Wykonawcą.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Tomasz Kaczmarski – telefon – 41 322 11 19</w:t>
      </w:r>
    </w:p>
    <w:p>
      <w:pPr>
        <w:pStyle w:val="Normal"/>
        <w:spacing w:lineRule="auto" w:line="300" w:before="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e-mail: tomasz.kaczmarski@starachowice.eu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>Projekt umowy.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567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Załącznikiem do niniejszego zapytania ofertowego jest projekt umowy, jaka zostanie zawarta z wybranym Wykonawcą.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567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Zamawiający zastrzega sobie możliwość odstąpienia od podpisania umowy</w:t>
        <w:br/>
        <w:t>w przypadku, gdy:</w:t>
      </w:r>
    </w:p>
    <w:p>
      <w:pPr>
        <w:pStyle w:val="ListParagraph"/>
        <w:numPr>
          <w:ilvl w:val="0"/>
          <w:numId w:val="3"/>
        </w:numPr>
        <w:spacing w:lineRule="auto" w:line="300"/>
        <w:ind w:hanging="284" w:left="851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inwestycja nie będzie realizowana lub jej wykonanie nie będzie leżało w interesie publicznym,</w:t>
      </w:r>
    </w:p>
    <w:p>
      <w:pPr>
        <w:pStyle w:val="ListParagraph"/>
        <w:numPr>
          <w:ilvl w:val="0"/>
          <w:numId w:val="3"/>
        </w:numPr>
        <w:spacing w:lineRule="auto" w:line="300" w:before="0" w:after="120"/>
        <w:ind w:hanging="284" w:left="851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wartość oferty przekroczy wielkość zarezerwowanych środków finansowych</w:t>
        <w:br/>
        <w:t>w budżecie.</w:t>
      </w:r>
    </w:p>
    <w:p>
      <w:pPr>
        <w:pStyle w:val="ListParagraph"/>
        <w:numPr>
          <w:ilvl w:val="0"/>
          <w:numId w:val="1"/>
        </w:numPr>
        <w:spacing w:lineRule="auto" w:line="300"/>
        <w:ind w:hanging="720" w:left="72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b/>
          <w:bCs/>
          <w:sz w:val="24"/>
          <w:szCs w:val="24"/>
        </w:rPr>
        <w:t xml:space="preserve">Załączniki: </w:t>
      </w:r>
    </w:p>
    <w:p>
      <w:pPr>
        <w:pStyle w:val="ListParagraph"/>
        <w:numPr>
          <w:ilvl w:val="1"/>
          <w:numId w:val="1"/>
        </w:numPr>
        <w:spacing w:lineRule="auto" w:line="300"/>
        <w:ind w:hanging="425" w:left="851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umowa – projekt,</w:t>
      </w:r>
    </w:p>
    <w:p>
      <w:pPr>
        <w:pStyle w:val="ListParagraph"/>
        <w:numPr>
          <w:ilvl w:val="1"/>
          <w:numId w:val="1"/>
        </w:numPr>
        <w:spacing w:lineRule="auto" w:line="300" w:before="0" w:after="120"/>
        <w:ind w:hanging="425" w:left="850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formularz oferty,</w:t>
      </w:r>
    </w:p>
    <w:p>
      <w:pPr>
        <w:pStyle w:val="Normal"/>
        <w:spacing w:lineRule="auto" w:line="300"/>
        <w:ind w:hanging="0" w:right="2"/>
        <w:jc w:val="both"/>
        <w:rPr>
          <w:rFonts w:ascii="Times New Roman" w:hAnsi="Times New Roman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  <w:t>Oferty niepotwierdzone lub złożone w innej formie niż za pośrednictwem Platformy Zakupowej Open Nexus będą podlegać odrzuceniu.</w:t>
      </w:r>
    </w:p>
    <w:p>
      <w:pPr>
        <w:pStyle w:val="Normal"/>
        <w:spacing w:lineRule="auto" w:line="300"/>
        <w:ind w:firstLine="5812" w:right="2"/>
        <w:jc w:val="center"/>
        <w:rPr>
          <w:rFonts w:ascii="Times New Roman" w:hAnsi="Times New Roman" w:cs="Open Sans"/>
          <w:sz w:val="24"/>
          <w:szCs w:val="24"/>
        </w:rPr>
      </w:pPr>
      <w:r>
        <w:rPr>
          <w:rFonts w:cs="Open Sans" w:ascii="Times New Roman" w:hAnsi="Times New Roman"/>
          <w:sz w:val="24"/>
          <w:szCs w:val="24"/>
        </w:rPr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8" w:right="1418" w:gutter="0" w:header="680" w:top="1418" w:footer="0" w:bottom="1195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Normal"/>
        <w:spacing w:lineRule="auto" w:line="300"/>
        <w:rPr>
          <w:sz w:val="21"/>
          <w:szCs w:val="21"/>
        </w:rPr>
      </w:pPr>
      <w:r>
        <w:rPr>
          <w:sz w:val="21"/>
          <w:szCs w:val="21"/>
        </w:rPr>
      </w:r>
    </w:p>
    <w:sectPr>
      <w:type w:val="continuous"/>
      <w:pgSz w:w="11906" w:h="16838"/>
      <w:pgMar w:left="1418" w:right="1418" w:gutter="0" w:header="680" w:top="1418" w:footer="0" w:bottom="1195"/>
      <w:cols w:num="2" w:equalWidth="false" w:sep="false">
        <w:col w:w="3414" w:space="3248"/>
        <w:col w:w="2407"/>
      </w:cols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Open Sans Regular">
    <w:charset w:val="ee"/>
    <w:family w:val="roman"/>
    <w:pitch w:val="variable"/>
  </w:font>
  <w:font w:name="Open Sans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Wingdings 2">
    <w:charset w:val="02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9200" cy="10706100"/>
          <wp:effectExtent l="0" t="0" r="0" b="0"/>
          <wp:wrapNone/>
          <wp:docPr id="1" name="WordPictureWatermark54901061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4901061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3"/>
      <w:gridCol w:w="28"/>
    </w:tblGrid>
    <w:tr>
      <w:trPr>
        <w:trHeight w:val="108" w:hRule="atLeast"/>
      </w:trPr>
      <w:tc>
        <w:tcPr>
          <w:tcW w:w="10603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hanging="0"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cs="Open Sans" w:ascii="Open Sans Regular" w:hAnsi="Open Sans Regular"/>
              <w:color w:val="231F20"/>
              <w:spacing w:val="-2"/>
              <w:szCs w:val="28"/>
            </w:rPr>
          </w:r>
        </w:p>
      </w:tc>
      <w:tc>
        <w:tcPr>
          <w:tcW w:w="2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632" w:type="dxa"/>
      <w:jc w:val="left"/>
      <w:tblInd w:w="-714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603"/>
      <w:gridCol w:w="28"/>
    </w:tblGrid>
    <w:tr>
      <w:trPr>
        <w:trHeight w:val="108" w:hRule="atLeast"/>
      </w:trPr>
      <w:tc>
        <w:tcPr>
          <w:tcW w:w="10603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left" w:pos="3117" w:leader="none"/>
            </w:tabs>
            <w:suppressAutoHyphens w:val="true"/>
            <w:spacing w:lineRule="auto" w:line="247" w:before="123" w:after="0"/>
            <w:ind w:hanging="0" w:right="118"/>
            <w:jc w:val="left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cs="Open Sans" w:ascii="Open Sans Regular" w:hAnsi="Open Sans Regular"/>
              <w:color w:val="231F20"/>
              <w:spacing w:val="-2"/>
              <w:szCs w:val="28"/>
            </w:rPr>
          </w:r>
        </w:p>
      </w:tc>
      <w:tc>
        <w:tcPr>
          <w:tcW w:w="2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 w:val="false"/>
            <w:tabs>
              <w:tab w:val="clear" w:pos="4536"/>
              <w:tab w:val="clear" w:pos="9072"/>
              <w:tab w:val="left" w:pos="1709" w:leader="none"/>
            </w:tabs>
            <w:suppressAutoHyphens w:val="true"/>
            <w:spacing w:before="0" w:after="0"/>
            <w:jc w:val="left"/>
            <w:rPr>
              <w:rFonts w:ascii="Open Sans" w:hAnsi="Open Sans" w:cs="Open Sans"/>
            </w:rPr>
          </w:pPr>
          <w:r>
            <w:rPr>
              <w:rFonts w:cs="Open Sans" w:ascii="Open Sans" w:hAnsi="Open Sans"/>
            </w:rPr>
          </w:r>
        </w:p>
      </w:tc>
    </w:tr>
  </w:tbl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2"/>
      <w:numFmt w:val="decimal"/>
      <w:lvlText w:val=" %1 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567"/>
        </w:tabs>
        <w:ind w:left="356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647"/>
        </w:tabs>
        <w:ind w:left="464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727"/>
        </w:tabs>
        <w:ind w:left="5727" w:hanging="360"/>
      </w:pPr>
      <w:rPr>
        <w:rFonts w:ascii="OpenSymbol" w:hAnsi="OpenSymbol" w:cs="OpenSymbol" w:hint="default"/>
      </w:rPr>
    </w:lvl>
  </w:abstractNum>
  <w:abstractNum w:abstractNumId="8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2"/>
      <w:numFmt w:val="decimal"/>
      <w:lvlText w:val=" %1 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567"/>
        </w:tabs>
        <w:ind w:left="356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647"/>
        </w:tabs>
        <w:ind w:left="464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727"/>
        </w:tabs>
        <w:ind w:left="5727" w:hanging="360"/>
      </w:pPr>
      <w:rPr>
        <w:rFonts w:ascii="OpenSymbol" w:hAnsi="OpenSymbol" w:cs="OpenSymbol" w:hint="default"/>
      </w:rPr>
    </w:lvl>
  </w:abstractNum>
  <w:abstractNum w:abstractNumId="11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2"/>
      <w:numFmt w:val="decimal"/>
      <w:lvlText w:val=" %1 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3567"/>
        </w:tabs>
        <w:ind w:left="356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4647"/>
        </w:tabs>
        <w:ind w:left="464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727"/>
        </w:tabs>
        <w:ind w:left="5727" w:hanging="360"/>
      </w:pPr>
      <w:rPr>
        <w:rFonts w:ascii="OpenSymbol" w:hAnsi="OpenSymbol" w:cs="OpenSymbol" w:hint="default"/>
      </w:rPr>
    </w:lvl>
  </w:abstractNum>
  <w:abstractNum w:abstractNumId="14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decimal"/>
      <w:lvlText w:val=" %1.%2.%3.%4.%5.%6 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 %1.%2.%3.%4.%5.%6.%7.%8.%9 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4"/>
  </w:num>
  <w:num w:numId="26">
    <w:abstractNumId w:val="14"/>
  </w:num>
  <w:num w:numId="27">
    <w:abstractNumId w:val="14"/>
  </w:num>
  <w:num w:numId="2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33">
    <w:abstractNumId w:val="14"/>
  </w:num>
  <w:num w:numId="34">
    <w:abstractNumId w:val="14"/>
  </w:num>
  <w:num w:numId="35">
    <w:abstractNumId w:val="1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StopkaZnak" w:customStyle="1">
    <w:name w:val="Stopka Znak"/>
    <w:basedOn w:val="DefaultParagraphFont"/>
    <w:uiPriority w:val="99"/>
    <w:qFormat/>
    <w:rsid w:val="00f503bf"/>
    <w:rPr>
      <w:rFonts w:ascii="Arial" w:hAnsi="Arial" w:eastAsia="Arial" w:cs="Arial"/>
    </w:rPr>
  </w:style>
  <w:style w:type="character" w:styleId="Hyperlink">
    <w:name w:val="Hyperlink"/>
    <w:basedOn w:val="DefaultParagraphFont"/>
    <w:uiPriority w:val="99"/>
    <w:unhideWhenUsed/>
    <w:rsid w:val="0058086f"/>
    <w:rPr>
      <w:color w:themeColor="hyperlink"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58086f"/>
    <w:rPr>
      <w:color w:val="605E5C"/>
      <w:shd w:fill="E1DFDD" w:val="clear"/>
    </w:rPr>
  </w:style>
  <w:style w:type="character" w:styleId="Domylnaczcionkaakapitu7" w:customStyle="1">
    <w:name w:val="Domyślna czcionka akapitu7"/>
    <w:qFormat/>
    <w:rsid w:val="001938f2"/>
    <w:rPr/>
  </w:style>
  <w:style w:type="character" w:styleId="WWCharLFO6LVL1" w:customStyle="1">
    <w:name w:val="WW_CharLFO6LVL1"/>
    <w:qFormat/>
    <w:rPr>
      <w:rFonts w:ascii="Symbol" w:hAnsi="Symbol"/>
      <w:sz w:val="16"/>
      <w:szCs w:val="16"/>
    </w:rPr>
  </w:style>
  <w:style w:type="character" w:styleId="WWCharLFO6LVL2" w:customStyle="1">
    <w:name w:val="WW_CharLFO6LVL2"/>
    <w:qFormat/>
    <w:rPr>
      <w:rFonts w:ascii="Courier New" w:hAnsi="Courier New" w:cs="Courier New"/>
    </w:rPr>
  </w:style>
  <w:style w:type="character" w:styleId="WWCharLFO6LVL3" w:customStyle="1">
    <w:name w:val="WW_CharLFO6LVL3"/>
    <w:qFormat/>
    <w:rPr>
      <w:rFonts w:ascii="Wingdings" w:hAnsi="Wingdings"/>
    </w:rPr>
  </w:style>
  <w:style w:type="character" w:styleId="WWCharLFO6LVL4" w:customStyle="1">
    <w:name w:val="WW_CharLFO6LVL4"/>
    <w:qFormat/>
    <w:rPr>
      <w:rFonts w:ascii="Symbol" w:hAnsi="Symbol"/>
    </w:rPr>
  </w:style>
  <w:style w:type="character" w:styleId="WWCharLFO6LVL5" w:customStyle="1">
    <w:name w:val="WW_CharLFO6LVL5"/>
    <w:qFormat/>
    <w:rPr>
      <w:rFonts w:ascii="Courier New" w:hAnsi="Courier New" w:cs="Courier New"/>
    </w:rPr>
  </w:style>
  <w:style w:type="character" w:styleId="WWCharLFO6LVL6" w:customStyle="1">
    <w:name w:val="WW_CharLFO6LVL6"/>
    <w:qFormat/>
    <w:rPr>
      <w:rFonts w:ascii="Wingdings" w:hAnsi="Wingdings"/>
    </w:rPr>
  </w:style>
  <w:style w:type="character" w:styleId="WWCharLFO6LVL7" w:customStyle="1">
    <w:name w:val="WW_CharLFO6LVL7"/>
    <w:qFormat/>
    <w:rPr>
      <w:rFonts w:ascii="Symbol" w:hAnsi="Symbol"/>
    </w:rPr>
  </w:style>
  <w:style w:type="character" w:styleId="WWCharLFO6LVL8" w:customStyle="1">
    <w:name w:val="WW_CharLFO6LVL8"/>
    <w:qFormat/>
    <w:rPr>
      <w:rFonts w:ascii="Courier New" w:hAnsi="Courier New" w:cs="Courier New"/>
    </w:rPr>
  </w:style>
  <w:style w:type="character" w:styleId="WWCharLFO6LVL9" w:customStyle="1">
    <w:name w:val="WW_CharLFO6LVL9"/>
    <w:qFormat/>
    <w:rPr>
      <w:rFonts w:ascii="Wingdings" w:hAnsi="Wingdings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25f9a"/>
    <w:rPr>
      <w:rFonts w:ascii="Tahoma" w:hAnsi="Tahoma" w:eastAsia="Arial" w:cs="Tahoma"/>
      <w:sz w:val="16"/>
      <w:szCs w:val="16"/>
      <w:lang w:val="pl-PL"/>
    </w:rPr>
  </w:style>
  <w:style w:type="character" w:styleId="Domylnaczcionkaakapitu">
    <w:name w:val="Domyślna czcionka akapitu"/>
    <w:qFormat/>
    <w:rPr/>
  </w:style>
  <w:style w:type="character" w:styleId="WWCharLFO60LVL1">
    <w:name w:val="WW_CharLFO60LVL1"/>
    <w:qFormat/>
    <w:rPr>
      <w:sz w:val="24"/>
      <w:szCs w:val="24"/>
      <w:lang w:bidi="ar-SA"/>
    </w:rPr>
  </w:style>
  <w:style w:type="character" w:styleId="WWCharLFO60LVL2">
    <w:name w:val="WW_CharLFO60LVL2"/>
    <w:qFormat/>
    <w:rPr>
      <w:sz w:val="24"/>
      <w:szCs w:val="24"/>
    </w:rPr>
  </w:style>
  <w:style w:type="character" w:styleId="WWCharLFO60LVL3">
    <w:name w:val="WW_CharLFO60LVL3"/>
    <w:qFormat/>
    <w:rPr>
      <w:sz w:val="24"/>
      <w:szCs w:val="24"/>
    </w:rPr>
  </w:style>
  <w:style w:type="character" w:styleId="WWCharLFO60LVL4">
    <w:name w:val="WW_CharLFO60LVL4"/>
    <w:qFormat/>
    <w:rPr>
      <w:rFonts w:ascii="StarSymbol" w:hAnsi="StarSymbol" w:eastAsia="OpenSymbol;Arial Unicode MS" w:cs="OpenSymbol;Arial Unicode MS"/>
    </w:rPr>
  </w:style>
  <w:style w:type="character" w:styleId="WWCharLFO60LVL5">
    <w:name w:val="WW_CharLFO60LVL5"/>
    <w:qFormat/>
    <w:rPr>
      <w:rFonts w:ascii="StarSymbol" w:hAnsi="StarSymbol" w:eastAsia="OpenSymbol;Arial Unicode MS" w:cs="OpenSymbol;Arial Unicode MS"/>
    </w:rPr>
  </w:style>
  <w:style w:type="character" w:styleId="WWCharLFO60LVL6">
    <w:name w:val="WW_CharLFO60LVL6"/>
    <w:qFormat/>
    <w:rPr>
      <w:rFonts w:ascii="StarSymbol" w:hAnsi="StarSymbol" w:eastAsia="OpenSymbol;Arial Unicode MS" w:cs="OpenSymbol;Arial Unicode MS"/>
    </w:rPr>
  </w:style>
  <w:style w:type="character" w:styleId="WWCharLFO60LVL7">
    <w:name w:val="WW_CharLFO60LVL7"/>
    <w:qFormat/>
    <w:rPr>
      <w:rFonts w:ascii="StarSymbol" w:hAnsi="StarSymbol" w:eastAsia="OpenSymbol;Arial Unicode MS" w:cs="OpenSymbol;Arial Unicode MS"/>
    </w:rPr>
  </w:style>
  <w:style w:type="character" w:styleId="WWCharLFO60LVL8">
    <w:name w:val="WW_CharLFO60LVL8"/>
    <w:qFormat/>
    <w:rPr>
      <w:rFonts w:ascii="StarSymbol" w:hAnsi="StarSymbol" w:eastAsia="OpenSymbol;Arial Unicode MS" w:cs="OpenSymbol;Arial Unicode MS"/>
    </w:rPr>
  </w:style>
  <w:style w:type="character" w:styleId="WWCharLFO60LVL9">
    <w:name w:val="WW_CharLFO60LVL9"/>
    <w:qFormat/>
    <w:rPr>
      <w:rFonts w:ascii="StarSymbol" w:hAnsi="StarSymbol" w:eastAsia="OpenSymbol;Arial Unicode MS" w:cs="OpenSymbol;Arial Unicode MS"/>
    </w:rPr>
  </w:style>
  <w:style w:type="character" w:styleId="Domylnaczcionkaakapitu6">
    <w:name w:val="Domyślna czcionka akapitu6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b/>
      <w:bCs/>
    </w:rPr>
  </w:style>
  <w:style w:type="character" w:styleId="WWCharLFO8LVL3">
    <w:name w:val="WW_CharLFO8LVL3"/>
    <w:qFormat/>
    <w:rPr>
      <w:b/>
      <w:bCs/>
    </w:rPr>
  </w:style>
  <w:style w:type="character" w:styleId="WWCharLFO9LVL3">
    <w:name w:val="WW_CharLFO9LVL3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16"/>
      <w:szCs w:val="16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f503bf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25f9a"/>
    <w:pPr/>
    <w:rPr>
      <w:rFonts w:ascii="Tahoma" w:hAnsi="Tahoma" w:cs="Tahoma"/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" w:cstheme="minorBidi"/>
      <w:color w:val="auto"/>
      <w:kern w:val="0"/>
      <w:sz w:val="24"/>
      <w:szCs w:val="24"/>
      <w:lang w:val="en-US" w:eastAsia="zh-CN" w:bidi="ar-SA"/>
    </w:rPr>
  </w:style>
  <w:style w:type="paragraph" w:styleId="Wysunicie">
    <w:name w:val="Wysunięcie"/>
    <w:basedOn w:val="BodyText"/>
    <w:qFormat/>
    <w:pPr>
      <w:tabs>
        <w:tab w:val="clear" w:pos="720"/>
        <w:tab w:val="left" w:pos="0" w:leader="none"/>
      </w:tabs>
      <w:ind w:hanging="283" w:left="567" w:right="0"/>
    </w:pPr>
    <w:rPr/>
  </w:style>
  <w:style w:type="paragraph" w:styleId="Title">
    <w:name w:val="Title"/>
    <w:basedOn w:val="Normal"/>
    <w:qFormat/>
    <w:pPr>
      <w:spacing w:before="0" w:after="0"/>
      <w:jc w:val="center"/>
    </w:pPr>
    <w:rPr>
      <w:b/>
      <w:sz w:val="32"/>
      <w:u w:val="single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9">
    <w:name w:val="WW8Num1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c15e8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593D5C-F922-4C10-8D5B-D4057D18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Application>LibreOffice/24.8.7.2$Windows_X86_64 LibreOffice_project/e07d0a63a46349d29051da79b1fde8160bab2a89</Application>
  <AppVersion>15.0000</AppVersion>
  <Pages>5</Pages>
  <Words>1331</Words>
  <Characters>8555</Characters>
  <CharactersWithSpaces>9792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2024-11-11T17:13:00Z</dcterms:created>
  <dc:creator>Tomasz Porębski</dc:creator>
  <dc:description/>
  <dc:language>pl-PL</dc:language>
  <cp:lastModifiedBy/>
  <cp:lastPrinted>2025-06-04T14:01:35Z</cp:lastPrinted>
  <dcterms:modified xsi:type="dcterms:W3CDTF">2026-01-15T08:49:38Z</dcterms:modified>
  <cp:revision>17</cp:revision>
  <dc:subject/>
  <dc:title>papier PION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